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(1) Der Bund kann nach Maßgabe der Vorschriften dieses Gesetzes Grundstücke beschaffen</w:t>
      </w:r>
    </w:p>
    <w:p>
      <w:pPr>
        <w:ind w:left="420"/>
      </w:pPr>
      <w:r>
        <w:t xml:space="preserve">1. für Zwecke der Verteidigung;</w:t>
      </w:r>
    </w:p>
    <w:p>
      <w:pPr>
        <w:ind w:left="420"/>
      </w:pPr>
      <w:r>
        <w:t xml:space="preserve">2. insbesondere auch zur Erfüllung der Verpflichtungen des Bundes aus zwischenstaatlichen Verträgen über die Stationierung und Rechtsstellung von Streitkräften auswärtiger Staaten im Bundesgebiet;</w:t>
      </w:r>
    </w:p>
    <w:p>
      <w:pPr>
        <w:ind w:left="420"/>
      </w:pPr>
      <w:r>
        <w:t xml:space="preserve">3. zur Gewährung einer Entschädigung in Land im unmittelbaren Zusammenhang mit Maßnahmen nach Nummer 1 oder 2;</w:t>
      </w:r>
    </w:p>
    <w:p>
      <w:pPr>
        <w:ind w:left="420"/>
      </w:pPr>
      <w:r>
        <w:t xml:space="preserve">4. zur Verlegung oder Errichtung öffentlicher Einrichtungen und Anlagen im unmittelbaren Zusammenhang mit Maßnahmen nach Nummer 1, 2 oder 3;</w:t>
      </w:r>
    </w:p>
    <w:p>
      <w:pPr>
        <w:ind w:left="420"/>
      </w:pPr>
      <w:r>
        <w:t xml:space="preserve">5. zur Unterbringung von Personen, Betrieben und öffentlichen Einrichtungen, die wegen der Verwendung bundes- oder reichseigener Grundstücke für Zwecke der Nummern 1 und 2 notwendig ist;</w:t>
      </w:r>
    </w:p>
    <w:p>
      <w:pPr>
        <w:ind w:left="420"/>
      </w:pPr>
      <w:r>
        <w:t xml:space="preserve">6. zur Verlegung von Anlagen oder Einrichtungen der Verteidigung, weil die benutzten Grundstücke für Anlagen oder Einrichtungen benötigt werden, für die eine Enteignung nach anderen Gesetzen zulässig wäre.</w:t>
      </w:r>
    </w:p>
    <w:p>
      <w:r>
        <w:t xml:space="preserve">(2) Sollen Grundstücke für die in Absatz 1 genannten Zwecke beschafft werden, so ist die Landesregierung zu hören, die nach Anhörung der betroffenen Gemeinde (Gemeindeverband) unter angemessener Berücksichtigung der Erfordernisse der Raumordnung, insbesondere der landwirtschaftlichen und wirtschaftlichen Interessen sowie der Belange des Städtebaus und des Naturschutzes und der Landschaftspflege, zu dem Vorhaben Stellung nimmt. Die Stellungnahme hat sich auch darauf zu erstrecken, ob das Vorhaben aus Grundbesitz der öffentlichen Hand, der in angemessener Entfernung gelegen und für das Vorhaben geeignet ist, unter Berücksichtigung der Grundsätze in Satz 1 befriedigt werden kann. Zu dem Grundbesitz der öffentlichen Hand gehört auch der Grundbesitz juristischer Personen des privaten Rechts, an deren Kapital die öffentliche Hand überwiegend beteiligt ist.</w:t>
      </w:r>
    </w:p>
    <w:p>
      <w:r>
        <w:t xml:space="preserve">(3) Alsdann bezeichnet der zuständige Bundesminister im Einvernehmen mit den beteiligten Bundesministern die Vorhaben, für die Grundstücke nach den Vorschriften dieses Gesetzes zu beschaffen sind, und sorgt in geeigneten Fällen für öffentliche Bekanntmachung. Will der zuständige Bundesminister von der Stellungnahme der Landesregierung abweichen, so unterrichtet er die betreffende Landesregierung vor seiner Entscheidung.</w:t>
      </w:r>
    </w:p>
    <w:p>
      <w:r>
        <w:rPr>
          <w:color w:val="555555"/>
          <w:sz w:val="17"/>
        </w:rPr>
        <w:t xml:space="preserve">Zitiervorschlag: § 1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