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92 LBG NRW (Nordrhein-Westfalen) — Dienstliche Beurteilung, Dienstzeugnis</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Eignung, Befähigung und fachliche Leistung der Beamtin oder des Beamten sind mindestens vor Ablauf der Probezeit dienstlich zu beurteilen. Sie sollen ferner in regelmäßigen Zeitabständen und aus besonderem Anlass insbesondere anlässlich einer Versetzung beurteilt werden; die obersten Dienstbehörden bestimmen die Zeitabstände und können Ausnahmen für Gruppen von Beamtinnen und Beamten zulassen. Die Beurteilungen sind mit einem Gesamturteil abzuschließen und sollen einen Vorschlag für die weitere dienstliche Verwendung enthalten. Sie sind zu den Personalakten der Beamtin oder des Beamten zu nehmen. Der Beamtin oder dem Beamten ist Gelegenheit zu geben, von ihrer oder seiner Beurteilung vor Aufnahme in die Personalakten Kenntnis zu nehmen und sie mit der oder dem Vorgesetzten zu besprechen. Eine Gegenäußerung der Beamtin oder des Beamten ist ebenfalls zu den Personalakten zu nehmen. Das Nähere regeln die Laufbahnverordnungen.</w:t>
      </w:r>
    </w:p>
    <w:p>
      <w:r>
        <w:t xml:space="preserve">(2) Die Landesregierung wird ermächtigt, Vorschriften über eine fiktive Fortschreibung dienstlicher Beurteilungen sowie über eine fiktive Erprobung und Probezeit im Zusammenhang mit der Verleihung eines höherwertigen Amtes in den Laufbahnverordnungen zu treffen. Sie kann auch Regelungen dazu treffen, dass eine Erprobung oder Probezeit für dieses Amt als erfolgreich abgeleistet angesehen werden kann, wenn sich die Beamtin oder der Beamte in der tatsächlich wahrgenommenen Funktion, die von ihren Anforderungen dem Beförderungsamt vergleichbar ist, bewährt hat und dies festgestellt wurde.</w:t>
      </w:r>
    </w:p>
    <w:p>
      <w:r>
        <w:t xml:space="preserve">(3) Der Beamtin oder dem Beamten wird beim Nachweis eines berechtigten Interesses und nach Beendigung des Beamtenverhältnisses auf ihren oder seinen Antrag ein Dienstzeugnis über Art und Dauer der von ihr oder ihm bekleideten Ämter erteilt. Das Dienstzeugnis muss auf Verlangen der Beamtin oder des Beamten auch über die von ihr oder ihm ausgeübte Tätigkeit und ihre oder seine Leistungen Auskunft geben.</w:t>
      </w:r>
    </w:p>
    <w:p>
      <w:r>
        <w:rPr>
          <w:color w:val="555555"/>
          <w:sz w:val="17"/>
        </w:rPr>
        <w:t xml:space="preserve">Zitiervorschlag: § 92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https://recht.nulegal.eu/gesetze/LBG%20NRW/92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