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LBG NRW (Nordrhein-Westfalen) — Laufbahnverordnung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Landesregierung erlässt unter Berücksichtigung der Erfordernisse der einzelnen Verwaltungen durch Rechtsverordnung Vorschriften über die Laufbahnen der Beamtinnen und Beamten (Laufbahnverordnung). Dabei sind auch nach Maßgabe der §§ 5 bis 23 insbesondere zu regeln</w:t>
      </w:r>
    </w:p>
    <w:p>
      <w:r>
        <w:t xml:space="preserve">1. die Voraussetzungen für die Einrichtung und Ausgestaltung von Laufbahnen, insbesondere Regelungen zum Befähigungserwerb sowie die Feststellung der bei einem anderen Dienstherrn erworbenen Laufbahnbefähigung,</w:t>
      </w:r>
    </w:p>
    <w:p>
      <w:r>
        <w:t xml:space="preserve">2. Mindestanforderungen an einen Vorbereitungsdienst, insbesondere seine Dauer, seine Kürzung durch Anrechnung und seine Verlängerung sowie seinen Abschluss,</w:t>
      </w:r>
    </w:p>
    <w:p>
      <w:r>
        <w:t xml:space="preserve">3. Mindestanforderungen an den Erwerb der fachlichen Voraussetzungen bei Laufbahnen besonderer Fachrichtung,</w:t>
      </w:r>
    </w:p>
    <w:p>
      <w:r>
        <w:t xml:space="preserve">4. Art, Dauer und Berechnung der Probezeit, ihre Verlängerung, Kürzung und die Anrechnung von Zeiten hauptberuflicher Tätigkeit sowie die Dauer der Mindestprobezeit und Ausnahmen hiervon,</w:t>
      </w:r>
    </w:p>
    <w:p>
      <w:r>
        <w:t xml:space="preserve">5. Beförderungsvoraussetzungen,</w:t>
      </w:r>
    </w:p>
    <w:p>
      <w:r>
        <w:t xml:space="preserve">6. die in der Laufbahn regelmäßig zu durchlaufenden Ämter, sowie die davon abweichende vorzeitige Beförderung auf der Grundlage einer Qualifizierung oder eines Studiums,</w:t>
      </w:r>
    </w:p>
    <w:p>
      <w:r>
        <w:t xml:space="preserve">7. die Voraussetzungen für den Aufstieg in das erste Einstiegsamt der Laufbahngruppe 2 (Laufbahnbefähigung im Wege des Aufstiegs),</w:t>
      </w:r>
    </w:p>
    <w:p>
      <w:r>
        <w:t xml:space="preserve">8. die inhaltliche Ausgestaltung der Möglichkeit zur Einstellung im Beförderungsamt (§14 Absatz 1 Satz 3 Nummer 1 und 2),</w:t>
      </w:r>
    </w:p>
    <w:p>
      <w:r>
        <w:t xml:space="preserve">9. der Verzicht auf eine erneute Probezeit, die in einem früheren Richter- oder Beamtenverhältnis bereits abgeleistet worden ist,</w:t>
      </w:r>
    </w:p>
    <w:p>
      <w:r>
        <w:t xml:space="preserve">10. der Verzicht auf das erneute Durchlaufen von Laufbahnämtern, die in einem früheren Richter- oder Beamtenverhältnis bereits erreicht worden sind,</w:t>
      </w:r>
    </w:p>
    <w:p>
      <w:r>
        <w:t xml:space="preserve">11. die inhaltlichen Anforderungen für die Anerkennung einer Laufbahnbefähigung bei einem Laufbahnwechsel sowie die Ausgestaltung des Laufbahnwechsels und</w:t>
      </w:r>
    </w:p>
    <w:p>
      <w:r>
        <w:t xml:space="preserve">12. Kosten und Kostenerstattung für eine berufliche Qualifizierung oder ein Studium.</w:t>
      </w:r>
    </w:p>
    <w:p>
      <w:r>
        <w:t xml:space="preserve">(2) Absatz 1 und die §§ 5 bis 16 und 19 bis 23 gelten nicht für Beamtinnen und Beamte auf Zeit.</w:t>
      </w:r>
    </w:p>
    <w:p>
      <w:r>
        <w:rPr>
          <w:color w:val="555555"/>
          <w:sz w:val="17"/>
        </w:rPr>
        <w:t xml:space="preserve">Zitiervorschlag: § 9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