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84 LBG NRW (Nordrhein-Westfalen) — Beihilfeakten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Unterlagen über Beihilfen sind stets als Teilakte zu führen. Diese ist von der übrigen Personalakte getrennt aufzubewahren. Sie soll in einer von der übrigen Personalverwaltung getrennten Organisationseinheit bearbeitet werden; Zugang sollen nur Beschäftigte dieser Organisationseinheit haben. Beihilfedaten dürfen für andere als für Beihilfezwecke nur verwendet oder übermittelt werden, wenn die oder der Beihilfeberechtigte und die oder der bei der Beihilfegewährung berücksichtigte Angehörige im Einzelfall einwilligen, die Einleitung oder Durchführung eines im Zusammenhang mit einem Beihilfeantrag stehenden behördlichen oder gerichtlichen Verfahrens dies erfordert oder soweit es zur Abwehr erheblicher Nachteile für das Gemeinwohl, einer sonst unmittelbar drohenden Gefahr für die öffentliche Sicherheit oder einer schwerwiegenden Beeinträchtigung der Rechte einer anderen Person erforderlich ist. Die Sätze 1 bis 4 gelten entsprechend für Unterlagen über Heilfürsorge und Heilverfahren.</w:t>
      </w:r>
    </w:p>
    <w:p>
      <w:r>
        <w:rPr>
          <w:color w:val="555555"/>
          <w:sz w:val="17"/>
        </w:rPr>
        <w:t xml:space="preserve">Zitiervorschlag: § 84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