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82 LBG NRW (Nordrhein-Westfalen) — Ersatz von Sachschäden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in Ausübung des Dienstes Kleidungsstücke oder sonstige Gegenstände, die üblicherweise im Dienst mitgeführt werden, beschädigt oder zerstört worden oder abhandengekommen, so kann dafür Ersatz geleistet werden. Das Zurücklegen des Weges nach und von der Dienststelle gehört nicht zum Dienst im Sinne des Satzes 1. Anträge auf Gewährung von Sachschadenersatz sind innerhalb einer Ausschlussfrist von drei Monaten zu stellen.</w:t>
      </w:r>
    </w:p>
    <w:p>
      <w:r>
        <w:t xml:space="preserve">(2) Ersatz kann auch geleistet werden, wenn bei der ordnungsgemäßen Wahrnehmung von Rechten oder bei der Erfüllung von Pflichten nach dem Landespersonalvertretungsgesetz vom 3. Dezember 1974 (GV. NRW. S. 1514) in der jeweils geltenden Fassung oder dem Neunten Buch Sozialgesetzbuch ein Schaden im Sinne des Absatzes 1 eingetreten ist. Absatz 1 Satz 2 gilt entsprechend.</w:t>
      </w:r>
    </w:p>
    <w:p>
      <w:r>
        <w:rPr>
          <w:color w:val="555555"/>
          <w:sz w:val="17"/>
        </w:rPr>
        <w:t xml:space="preserve">Zitiervorschlag: § 82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