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80 LBG NRW (Nordrhein-Westfalen) — Pflicht zum Schadensersatz</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Ansprüche nach § 48 des Beamtenstatusgesetzes verjähren in drei Jahren von dem Zeitpunkt an, in dem der Dienstherr von dem Schaden und der Person des Ersatzpflichtigen Kenntnis erlangt hat, ohne Rücksicht auf diese Kenntnis in zehn Jahren von der Begehung der Handlung an. Hat der Dienstherr einer oder einem Dritten Schadensersatz geleistet, so tritt an die Stelle des Zeitpunktes, in dem der Dienstherr von dem Schaden Kenntnis erlangt, der Zeitpunkt, in dem der Ersatzanspruch der oder des Dritten dieser oder diesem gegenüber vom Dienstherrn anerkannt oder dem Dienstherrn gegenüber rechtskräftig festgestellt wird.</w:t>
      </w:r>
    </w:p>
    <w:p>
      <w:r>
        <w:t xml:space="preserve">(2) Leistet die Beamtin oder der Beamte dem Dienstherrn Ersatz und hat dieser einen Ersatzanspruch gegen eine Dritte oder einen Dritten, so geht der Ersatzanspruch auf die Beamtin oder den Beamten über.</w:t>
      </w:r>
    </w:p>
    <w:p>
      <w:r>
        <w:rPr>
          <w:color w:val="555555"/>
          <w:sz w:val="17"/>
        </w:rPr>
        <w:t xml:space="preserve">Zitiervorschlag: § 80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https://recht.nulegal.eu/gesetze/LBG%20NRW/80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