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LBG NRW (Nordrhein-Westfalen) — Erwerb der fachlichen Voraussetzung bei Laufbahnen besonderer Fachrichtung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Einrichtung von Laufbahnen besonderer Fachrichtung setzt voraus, dass die Ausbildungsinhalte eines Vorbereitungsdienstes mindestens gleichwertig durch Kenntnisse und Fähigkeiten aus einer hauptberuflichen Tätigkeit ersetzt werden können. Vom Zeitpunkt des Inkrafttretens einer Rechtsverordnung nach § 7 Absatz 2, die den Erwerb der Befähigung durch einen Vorbereitungsdienst und nach § 6 Absatz 4 mögliche Ausnahmen hiervon vorschreibt, ist die Einstellung solcher Bewerberinnen und Bewerber in die entsprechende Laufbahn mit Vorbereitungsdienst nicht mehr zulässig, die ihre Befähigung nach den Vorschriften über Beamtinnen und Beamte besonderer Fachrichtung erworben haben. Die Rechtsverordnung kann für eine Übergangszeit hiervon abweichen.</w:t>
      </w:r>
    </w:p>
    <w:p>
      <w:r>
        <w:t xml:space="preserve">(2) Als hauptberufliche Tätigkeit können nur solche Tätigkeiten anerkannt werden, die nach den Grundsätzen der funktionsbezogenen Bewertung gleichwertige Kenntnisse und Fertigkeiten des auszuübenden Amtes vermitteln. Nähere Bestimmungen hierzu trifft die Laufbahnverordnung. Sie kann insbesondere Regelungen treffen über</w:t>
      </w:r>
    </w:p>
    <w:p>
      <w:r>
        <w:t xml:space="preserve">1. Art und Umfang der hauptberuflichen Tätigkeit,</w:t>
      </w:r>
    </w:p>
    <w:p>
      <w:r>
        <w:t xml:space="preserve">2. weitere über § 6 hinausgehende Qualifikationen.</w:t>
      </w:r>
    </w:p>
    <w:p>
      <w:r>
        <w:t xml:space="preserve">(3) Für die Laufbahnen besonderer Fachrichtung kann die oberste Dienstbehörde Regelungen nach § 7 Absatz 3 treffen.</w:t>
      </w:r>
    </w:p>
    <w:p>
      <w:r>
        <w:rPr>
          <w:color w:val="555555"/>
          <w:sz w:val="17"/>
        </w:rPr>
        <w:t xml:space="preserve">Zitiervorschlag: § 8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