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LBG NRW (Nordrhein-Westfalen) — Behördliches Gesundheitsmanagement</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Dienstherr fördert das Wohl und die Gesundheit der Beamtinnen und Beamten und bedient sich eines Behördlichen Gesundheitsmanagements. Behördliches Gesundheitsmanagement ist die strategische Steuerung und Implementierung gesundheitsrelevanter Maßnahmen und Prozesse in der Behörde mit dem Ziel, die Gesundheit und Leistungsfähigkeit der Beamtinnen und Beamten zu erhalten. Dieses Ziel wird mit den notwendigen finanziellen und personellen Ressourcen verfolgt.</w:t>
      </w:r>
    </w:p>
    <w:p>
      <w:r>
        <w:t xml:space="preserve">(2) Die oberste Dienstbehörde erstellt ein Rahmenkonzept für das Behördliche Gesundheitsmanagement und entwickelt dieses regelmäßig fort. Für die in § 2 Absatz 2 Satz 1 Nummer 2 und 3 genannten Beamtinnen und Beamten erstellt die dienstvorgesetzte Stelle das Rahmenkonzept. Das Rahmenkonzept enthält Ziele und strategische Schwerpunkte, es regelt Zuständigkeiten und grundlegende Aufgabenfelder des Behördlichen Gesundheitsmanagements und zeigt Ansatzpunkte für die Evaluierung auf. Das Konzept sieht vor, dass Dienststellenleitungen und Führungskräfte aller Ebenen gemeinsam gesundheitsbeeinträchtigende Faktoren in der Dienstelle identifizieren und im Rahmen ihrer Zuständigkeiten auf deren Beseitigung hinwirken.</w:t>
      </w:r>
    </w:p>
    <w:p>
      <w:r>
        <w:t xml:space="preserve">(3) Jede Behörde entwickelt auf Grundlage des Rahmenkonzeptes gemäß Absatz 2 ein eigenes Konzept oder einen Maßnahmenkatalog zum Behördlichen Gesundheitsmanagement. Dabei sollen insbesondere gesundheitsbeeinträchtigende Faktoren identifiziert werden sowie Möglichkeiten, diesen zu begegnen. Für das Behördliche Gesundheitsmanagement ist ein ständiges Gremium einzusetzen oder zu bestimmen, dem Leitungs- und Fachebene angehören. Dieses Gremium begleitet die Umsetzung des Konzepts sowie dessen regelmäßige Evaluierung. Gesundheitsrelevante Maßnahmen des Arbeits- und Gesundheitsschutzes, der Personal- und Organisationsentwicklung, der Gesundheitsförderung, des Betrieblichen Eingliederungsmanagements sowie der Mitarbeiterführung sind aufeinander abzustimmen. Für Schulen handelt die zuständige obere Schulaufsichtsbehörde.</w:t>
      </w:r>
    </w:p>
    <w:p>
      <w:r>
        <w:rPr>
          <w:color w:val="555555"/>
          <w:sz w:val="17"/>
        </w:rPr>
        <w:t xml:space="preserve">Zitiervorschlag: § 76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