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LBG NRW (Nordrhein-Westfalen) — Fernbleiben vom Dienst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Beamtin oder der Beamte darf dem Dienst nicht ohne Genehmigung fernbleiben. Dienstunfähigkeit infolge Krankheit ist auf Verlangen nachzuweisen.</w:t>
      </w:r>
    </w:p>
    <w:p>
      <w:r>
        <w:t xml:space="preserve">(2) Verliert die Beamtin oder der Beamte wegen schuldhaften Fernbleibens vom Dienst ihren oder seinen Anspruch auf Dienstbezüge, so wird dadurch eine disziplinarrechtliche Verfolgung nicht ausgeschlossen.</w:t>
      </w:r>
    </w:p>
    <w:p>
      <w:r>
        <w:rPr>
          <w:color w:val="555555"/>
          <w:sz w:val="17"/>
        </w:rPr>
        <w:t xml:space="preserve">Zitiervorschlag: § 62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https://recht.nulegal.eu/gesetze/LBG%20NRW/62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