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LBG NRW (Nordrhein-Westfalen) — Genehmigungspflichtige Nebentätigkeit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Beamtin oder der Beamte bedarf, soweit sie oder er nicht nach § 48 zur Übernahme verpflichtet ist, der vorherigen Genehmigung</w:t>
      </w:r>
    </w:p>
    <w:p>
      <w:r>
        <w:t xml:space="preserve">1. zur Übernahme eines Nebenamtes,</w:t>
      </w:r>
    </w:p>
    <w:p>
      <w:r>
        <w:t xml:space="preserve">2. zur Übernahme einer Nebenbeschäftigung gegen Vergütung, zu einer gewerblichen Tätigkeit, zur Mitarbeit in einem Gewerbebetrieb oder zur Ausübung eines freien Berufes und</w:t>
      </w:r>
    </w:p>
    <w:p>
      <w:r>
        <w:t xml:space="preserve">3. zum Eintritt in den Vorstand, Aufsichtsrat, Verwaltungsrat oder in ein sonstiges Organ einer Gesellschaft oder eines in einer anderen Rechtsform betriebenen Unternehmens, soweit diese einen wirtschaftlichen Zweck verfolgen, sowie zur Übernahme einer Treuhänderschaft.</w:t>
      </w:r>
    </w:p>
    <w:p>
      <w:r>
        <w:t xml:space="preserve">Die Wahrnehmung eines öffentlichen Ehrenamtes sowie einer unentgeltlichen Vormundschaft, Betreuung, Pflegschaft oder Testamentsvollstreckung gilt nicht als Nebentätigkeit. Ihre Übernahme ist der dienstvorgesetzten Stelle vor Aufnahme schriftlich oder elektronisch anzuzeigen.</w:t>
      </w:r>
    </w:p>
    <w:p>
      <w:r>
        <w:t xml:space="preserve">(2) Die Genehmigung ist zu versagen, wenn die Nebentätigkeit dienstliche Interessen beeinträchtigen kann. Ein solcher Versagungsgrund liegt insbesondere vor, wenn die Nebentätigkeit</w:t>
      </w:r>
    </w:p>
    <w:p>
      <w:r>
        <w:t xml:space="preserve">1. nach Art und Umfang die Arbeitskraft der Beamtin oder des Beamten so stark in Anspruch nimmt, dass die ordnungsgemäße Erfüllung ihrer oder seiner dienstlichen Pflichten behindert werden kann,</w:t>
      </w:r>
    </w:p>
    <w:p>
      <w:r>
        <w:t xml:space="preserve">2. die Beamtin oder den Beamten in einen Widerstreit mit den dienstlichen Pflichten bringen kann,</w:t>
      </w:r>
    </w:p>
    <w:p>
      <w:r>
        <w:t xml:space="preserve">3. in einer Angelegenheit ausgeübt wird, in der die Behörde oder Einrichtung, der die Beamtin oder der Beamte angehört, tätig wird oder werden kann,</w:t>
      </w:r>
    </w:p>
    <w:p>
      <w:r>
        <w:t xml:space="preserve">4. die Unparteilichkeit oder die Unbefangenheit der Beamtin oder des Beamten beeinflussen kann,</w:t>
      </w:r>
    </w:p>
    <w:p>
      <w:r>
        <w:t xml:space="preserve">5. zu einer wesentlichen Einschränkung der künftigen dienstlichen Verwendbarkeit der Beamtin oder des Beamten führen kann oder</w:t>
      </w:r>
    </w:p>
    <w:p>
      <w:r>
        <w:t xml:space="preserve">6. dem Ansehen der öffentlichen Verwaltung abträglich sein kann.</w:t>
      </w:r>
    </w:p>
    <w:p>
      <w:r>
        <w:t xml:space="preserve">Die Voraussetzung des Satzes 2 Nummer 1 gilt in der Regel als erfüllt, wenn die zeitliche Beanspruchung durch eine oder mehrere Nebentätigkeiten in der Woche ein Fünftel der regelmäßigen wöchentlichen Arbeitszeit überschreitet. Im Falle einer begrenzten Dienstfähigkeit (§ 27 des Beamtenstatusgesetzes) gilt Satz 3 mit der Maßgabe, dass die herabgesetzte wöchentliche Arbeitszeit zugrunde zu legen ist.</w:t>
      </w:r>
    </w:p>
    <w:p>
      <w:r>
        <w:t xml:space="preserve">(3) Die Genehmigung ist für jede einzelne Nebentätigkeit zu erteilen und auf längstens fünf Jahre zu befristen. Sie kann mit Auflagen und Bedingungen versehen werden. Die Genehmigung erlischt bei Versetzung zu einer anderen Dienststelle.</w:t>
      </w:r>
    </w:p>
    <w:p>
      <w:r>
        <w:t xml:space="preserve">(4) Ergibt sich nach der Erteilung der Genehmigung eine Beeinträchtigung dienstlicher Interessen, so ist die Genehmigung zu widerrufen.</w:t>
      </w:r>
    </w:p>
    <w:p>
      <w:r>
        <w:rPr>
          <w:color w:val="555555"/>
          <w:sz w:val="17"/>
        </w:rPr>
        <w:t xml:space="preserve">Zitiervorschlag: § 49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