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LBG NRW (Nordrhein-Westfalen) — Gnadenerweis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Ministerpräsidentin oder dem Ministerpräsidenten steht hinsichtlich des Verlustes der Beamtenrechte das Gnadenrecht zu. Sie oder er kann die Befugnis auf andere Stellen übertragen.</w:t>
      </w:r>
    </w:p>
    <w:p>
      <w:r>
        <w:t xml:space="preserve">(2) Wird im Gnadenwege der Verlust der Beamtenrechte in vollem Umfang beseitigt, so gilt von diesem Zeitpunkt an § 24 Absatz 2 des Beamtenstatusgesetzes entsprechend.</w:t>
      </w:r>
    </w:p>
    <w:p>
      <w:r>
        <w:rPr>
          <w:color w:val="555555"/>
          <w:sz w:val="17"/>
        </w:rPr>
        <w:t xml:space="preserve">Zitiervorschlag: § 30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