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LBG NRW (Nordrhein-Westfalen) — Verlust der Beamtenrechte und Wiederaufnahmeverfahren</w:t>
      </w:r>
    </w:p>
    <w:p>
      <w:r>
        <w:rPr>
          <w:color w:val="555555"/>
          <w:sz w:val="18"/>
        </w:rPr>
        <w:t xml:space="preserve">Landesbeamtengesetz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Endet das Beamtenverhältnis nach § 24 des Beamtenstatusgesetzes, so haben frühere Beamtinnen und Beamte keinen Anspruch auf Leistungen des Dienstherrn, soweit gesetzlich nichts anderes bestimmt ist. Sie dürfen die Amtsbezeichnung und die im Zusammenhang mit dem Amt verliehenen Titel nicht führen.</w:t>
      </w:r>
    </w:p>
    <w:p>
      <w:r>
        <w:t xml:space="preserve">(2) Im Fall des § 24 Absatz 2 des Beamtenstatusgesetzes haben Beamtinnen und Beamte, sofern sie die Altersgrenze noch nicht erreicht haben und noch dienstfähig sind, Anspruch auf Übertragung eines Amtes derselben Laufbahn wie ihr bisheriges Amt und mit mindestens demselben Endgrundgehalt (§ 25 Absatz 2 Satz 2). Bis zur Übertragung des neuen Amtes erhalten sie die Leistungen des Dienstherrn, die ihnen aus ihrem bisherigen Amt zugestanden hätten.</w:t>
      </w:r>
    </w:p>
    <w:p>
      <w:r>
        <w:t xml:space="preserve">(3) Ist auf Grund des im Wiederaufnahmeverfahren festgestellten Sachverhaltes oder auf Grund eines rechtskräftigen Strafurteils, das nach der früheren Entscheidung ergangen ist, ein Disziplinarverfahren mit dem Ziel der Entfernung aus dem Beamtenverhältnis eingeleitet worden, so verliert die Beamtin oder der Beamte die ihr oder ihm nach Absatz 2 zustehenden Ansprüche, wenn auf Entfernung aus dem Beamtenverhältnis erkannt wird. Bis zur rechtskräftigen Entscheidung können die Ansprüche nicht geltend gemacht werden.</w:t>
      </w:r>
    </w:p>
    <w:p>
      <w:r>
        <w:t xml:space="preserve">(4) Absatz 3 gilt entsprechend in Fällen der Entlassung von Beamtinnen und Beamten auf Probe oder auf Widerruf wegen eines Verhaltens der in § 23 Absatz 3 Nummer 1 des Beamtenstatusgesetzes bezeichneten Art.</w:t>
      </w:r>
    </w:p>
    <w:p>
      <w:r>
        <w:rPr>
          <w:color w:val="555555"/>
          <w:sz w:val="17"/>
        </w:rPr>
        <w:t xml:space="preserve">Zitiervorschlag: § 29 LBG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https://recht.nulegal.eu/gesetze/LBG%20NRW/29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