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LBG NRW (Nordrhein-Westfalen) — Entlassung</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sind zu entlassen, wenn sie bei Übertragung eines Amtes, das kraft Gesetzes mit dem Mandat unvereinbar ist, Mitglied des Europäischen Parlaments, des Bundestages oder des Landtags waren und nicht innerhalb der von der obersten Dienstbehörde gesetzten angemessenen Frist ihr Mandat niederlegen.</w:t>
      </w:r>
    </w:p>
    <w:p>
      <w:r>
        <w:t xml:space="preserve">(2) Beamtinnen und Beamte sind ferner zu entlassen, wenn sie als Beamtinnen und Beamte auf Zeit ihrer Verpflichtung nach § 4 letzter Satz und § 119 Absatz 2 Satz 4 nicht nachkommen.</w:t>
      </w:r>
    </w:p>
    <w:p>
      <w:r>
        <w:t xml:space="preserve">(3) Das Verlangen, entlassen zu werden, muss schriftlich erklärt werden. Die Erklärung kann, solange die Entlassungsverfügung der Beamtin oder dem Beamten noch nicht zugegangen ist, innerhalb von zwei Wochen nach Zugang bei der dienstvorgesetzten Stelle, mit Zustimmung der nach § 28 Absatz 1 Satz 1 zuständigen Stelle auch nach Ablauf dieser Frist, zurückgenommen werden.</w:t>
      </w:r>
    </w:p>
    <w:p>
      <w:r>
        <w:t xml:space="preserve">(4) Die Entlassung ist für den beantragten Zeitpunkt auszusprechen. Sie kann jedoch solange hinausgeschoben werden, bis die Beamtin oder der Beamte ihre oder seine Amtsgeschäfte ordnungsgemäß erledigt hat; eine Frist von drei Monaten darf dabei nicht überschritten werden.</w:t>
      </w:r>
    </w:p>
    <w:p>
      <w:r>
        <w:rPr>
          <w:color w:val="555555"/>
          <w:sz w:val="17"/>
        </w:rPr>
        <w:t xml:space="preserve">Zitiervorschlag: § 27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