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LBG NRW (Nordrhein-Westfalen) — Abordnung</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Abordnung ist die vorübergehende Übertragung einer dem Amt der Beamtin oder des Beamten entsprechenden Tätigkeit bei einer anderen Dienststelle desselben oder eines anderen Dienstherrn unter Beibehaltung der Zugehörigkeit zur bisherigen Dienststelle. Die Abordnung kann ganz oder teilweise erfolgen.</w:t>
      </w:r>
    </w:p>
    <w:p>
      <w:r>
        <w:t xml:space="preserve">(2) Beamtinnen und Beamte können, wenn hierfür ein dienstlicher Grund besteht, vorübergehend ganz oder teilweise zu einer ihrem Amt entsprechenden Tätigkeit an eine andere Dienststelle eines Dienstherrn im Geltungsbereich dieses Gesetzes abgeordnet werden.</w:t>
      </w:r>
    </w:p>
    <w:p>
      <w:r>
        <w:t xml:space="preserve">(3) Aus dienstlichen Gründen können Beamtinnen und Beamte vorübergehend ganz oder teilweise auch zu einer nicht ihrem Amt entsprechenden Tätigkeit abgeordnet werden, wenn ihnen die Wahrnehmung der neuen Tätigkeit auf Grund ihrer Vorbildung oder Berufsausbildung zuzumuten ist. Dabei ist auch die Abordnung zu einer Tätigkeit, die nicht ihrem Amt mit demselben Endgrundgehalt entspricht, zulässig. Die Abordnung nach den Sätzen 1 und 2 bedarf der Zustimmung der Beamtin oder des Beamten, wenn sie die Dauer von zwei Jahren übersteigt.</w:t>
      </w:r>
    </w:p>
    <w:p>
      <w:r>
        <w:t xml:space="preserve">(4) Die Abordnung zu einem anderen Dienstherrn bedarf der Zustimmung der Beamtin oder des Beamten. Abweichend von Satz 1 ist die Abordnung auch ohne Zustimmung der Beamtin oder des Beamten zulässig, wenn die neue Tätigkeit einem Amt mit demselben Endgrundgehalt auch einer anderen Laufbahn entspricht und die Abordnung die Dauer von fünf Jahren nicht übersteigt.</w:t>
      </w:r>
    </w:p>
    <w:p>
      <w:r>
        <w:t xml:space="preserve">(5) Vor der Abordnung ist die Beamtin oder der Beamte zu hören.</w:t>
      </w:r>
    </w:p>
    <w:p>
      <w:r>
        <w:t xml:space="preserve">(6) Die Abordnung zu einem anderen Dienstherrn wird von dem abgebenden im Einverständnis mit dem aufnehmenden Dienstherrn verfügt; das Einverständnis ist schriftlich oder elektronisch zu erklären. In der Verfügung ist zum Ausdruck zu bringen, dass das Einverständnis vorliegt. Zur Zahlung der der Beamtin oder dem Beamten zustehenden Leistungen ist auch der Dienstherr verpflichtet, zu dem die Beamtin oder der Beamte abgeordnet ist.</w:t>
      </w:r>
    </w:p>
    <w:p>
      <w:r>
        <w:rPr>
          <w:color w:val="555555"/>
          <w:sz w:val="17"/>
        </w:rPr>
        <w:t xml:space="preserve">Zitiervorschlag: § 24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