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LBG NRW (Nordrhein-Westfalen) — Nachteilsausgleich</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Schwangerschaft, Mutterschutz, Elternzeit und die Betreuung von Kindern unter achtzehn Jahren oder die Pflege einer oder eines nach§ 7 Absatz 3 des Pflegezeitgesetzes pflegebedürftigen nahen Angehörigen, deren oder dessen Pflegebedürftigkeit nach § 3 Absatz 2 des Pflegezeitgesetzes nachgewiesen ist, dürfen sich bei der Einstellung und der beruflichen Entwicklung nach Maßgabe der Absätze 2 und 3 nicht nachteilig auswirken.</w:t>
      </w:r>
    </w:p>
    <w:p>
      <w:r>
        <w:t xml:space="preserve">(2) Haben sich die Anforderungen an die fachliche Eignung einer Bewerberin oder eines Bewerbers für die Einstellung in den öffentlichen Dienst in der Zeit erhöht, in der sich die Bewerbung um Einstellung infolge der Geburt oder Betreuung eines Kindes verzögert hat, und hat sie oder er sich innerhalb von drei Jahren nach der Geburt dieses Kindes beworben, ist der Grad der fachlichen Eignung nach den Anforderungen zu prüfen, die zu dem Zeitpunkt bestanden haben, zu dem sie oder er sich ohne die Geburt des Kindes hätte bewerben können. Für die Berechnung des Zeitraums der Verzögerung sind die Fristen nach dem Bundeselterngeld- und Elternzeitgesetz in der Fassung der Bekanntmachung vom 27. Januar 2015 (BGBl. I S. 33) in der jeweils geltenden Fassung sowie dem Mutterschutzgesetz vom 23. Mai 2017 (BGBl. I S. 1228) in der jeweils geltenden Fassung zugrunde zu legen. Die Sätze 1 und 2 gelten entsprechend für die Verzögerung der Einstellung wegen der tatsächlichen Pflege einer oder eines nach § 7 Absatz 3 des Pflegezeitgesetzes pflegebedürftigen nahen Angehörigen, deren oder dessen Pflegebedürftigkeit nach § 3 Absatz 2 des Pflegezeitgesetzes nachgewiesen ist.</w:t>
      </w:r>
    </w:p>
    <w:p>
      <w:r>
        <w:t xml:space="preserve">(3) Zum Ausgleich beruflicher Verzögerungen infolge</w:t>
      </w:r>
    </w:p>
    <w:p>
      <w:r>
        <w:t xml:space="preserve">1. der Geburt oder der tatsächlichen Betreuung eines Kindes unter 18 Jahren,</w:t>
      </w:r>
    </w:p>
    <w:p>
      <w:r>
        <w:t xml:space="preserve">2. der tatsächlichen Pflege einer oder eines nach § 7 Absatz 3 des Pflegezeitgesetzes pflegebedürftigen nahen Angehörigen, deren oder dessen Pflegebedürftigkeit nach § 3 Absatz 2 des Pflegezeitgesetzes nachgewiesen ist oder</w:t>
      </w:r>
    </w:p>
    <w:p>
      <w:r>
        <w:t xml:space="preserve">3. eines festgestellten Dienstunfalls während der Probezeit zur Vermeidung einer unbilligen Härte</w:t>
      </w:r>
    </w:p>
    <w:p>
      <w:r>
        <w:t xml:space="preserve">ist eine Beförderung ohne Mitwirkung des Landespersonalausschusses abweichend von § 19 Absatz 2 Satz 1 Nummer 1 sowie Absatz 2a während der Probezeit und vor Ablauf eines Jahres seit Beendigung der Probezeit möglich. Das Ableisten der regelmäßigen Probezeit bleibt unberührt. Satz 1 gilt nicht während eines Vorbereitungsdienstes, wenn dieser im Beamtenverhältnis auf Probe durchgeführt wird.</w:t>
      </w:r>
    </w:p>
    <w:p>
      <w:r>
        <w:t xml:space="preserve">(4) Die Absätze 2 und 3 sind in den Fällen des Nachteilsausgleichs für ehemalige Beamtinnen und Beamte der Bundespolizei, für ehemalige Soldatinnen und Soldaten nach dem Arbeitsplatzschutzgesetz in der Fassung der Bekanntmachung vom 16. Juli 2009 (BGBl. I S. 2055) und dem Soldatenversorgungsgesetz in der Fassung der Bekanntmachung vom 16. September 2009 (BGBl. I S. 3054) sowie für ehemalige Zivildienstleistende nach dem Zivildienstgesetz in der Fassung der Bekanntmachung vom 17. Mai 2005 (BGBl. I S. 1346) und Entwicklungshelferinnen und Entwicklungshelfer nach dem Entwicklungshelfer-Gesetz vom 18. Juni 1969 (BGBl. I S. 549), jeweils in der jeweils geltenden Fassung entsprechend anzuwenden. Dies gilt auch für die Teilnahme an Maßnahmen im Sinne des § 34 Absatz 2 der Freistellungs- und Urlaubsverordnung NRW.</w:t>
      </w:r>
    </w:p>
    <w:p>
      <w:r>
        <w:rPr>
          <w:color w:val="555555"/>
          <w:sz w:val="17"/>
        </w:rPr>
        <w:t xml:space="preserve">Zitiervorschlag: § 20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