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LBG NRW (Nordrhein-Westfalen) — Beförderung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Beförderungen sind die</w:t>
      </w:r>
    </w:p>
    <w:p>
      <w:r>
        <w:t xml:space="preserve">1. Ernennung unter Verleihung eines anderen Amtes mit höherem Endgrundgehalt und anderer Amtsbezeichnung,</w:t>
      </w:r>
    </w:p>
    <w:p>
      <w:r>
        <w:t xml:space="preserve">2. Ernennung unter Verleihung eines anderen Amtes mit höherem Endgrundgehalt bei gleicher Amtsbezeichnung und</w:t>
      </w:r>
    </w:p>
    <w:p>
      <w:r>
        <w:t xml:space="preserve">3. Ernennung unter Verleihung eines anderen Amtes mit gleichem Endgrundgehalt und anderer Amtsbezeichnung beim Wechsel der Laufbahngruppe.</w:t>
      </w:r>
    </w:p>
    <w:p>
      <w:r>
        <w:t xml:space="preserve">Amtszulagen gelten als Bestandteile des Grundgehaltes.</w:t>
      </w:r>
    </w:p>
    <w:p>
      <w:r>
        <w:t xml:space="preserve">(2) Eine Beförderung ist nicht zulässig</w:t>
      </w:r>
    </w:p>
    <w:p>
      <w:r>
        <w:t xml:space="preserve">1. während der Probezeit sowie</w:t>
      </w:r>
    </w:p>
    <w:p>
      <w:r>
        <w:t xml:space="preserve">2. vor Ablauf eines Jahres seit der letzten Beförderung, es sei denn, dass das bisherige Amt nicht zu durchlaufen war.</w:t>
      </w:r>
    </w:p>
    <w:p>
      <w:r>
        <w:t xml:space="preserve">Innerhalb von zwei Jahren vor Eintritt in den Ruhestand wegen Erreichens der Altersgrenze ist eine weitere Beförderung nicht zulässig.</w:t>
      </w:r>
    </w:p>
    <w:p>
      <w:r>
        <w:t xml:space="preserve">(2a) Eine Beförderung ist außerdem nicht zulässig vor Ablauf eines Jahres seit Beendigung der Probezeit, es sei denn,</w:t>
      </w:r>
    </w:p>
    <w:p>
      <w:r>
        <w:t xml:space="preserve">1. es liegen besondere Leistungen vor,</w:t>
      </w:r>
    </w:p>
    <w:p>
      <w:r>
        <w:t xml:space="preserve">2. für die Stelle besteht ein besonderer Bewerbermangel oder</w:t>
      </w:r>
    </w:p>
    <w:p>
      <w:r>
        <w:t xml:space="preserve">3. die regelmäßige Probezeit wurde eingehalten oder die Unterschreitung beruht auf einer Anrechnung von Zeiten oder einer durch die Laufbahnverordnungen nicht nur im Einzelfall zulässigen Kürzung.</w:t>
      </w:r>
    </w:p>
    <w:p>
      <w:r>
        <w:t xml:space="preserve">Über weitere Ausnahmen entscheidet der Landespersonalausschuss.</w:t>
      </w:r>
    </w:p>
    <w:p>
      <w:r>
        <w:t xml:space="preserve">(3) Vor Feststellung der Eignung für einen höher bewerteten Dienstposten in einer Erprobungszeit, für die durch die Laufbahnverordnungen eine Dauer von mindestens drei Monaten festzulegen ist, darf die Beamtin oder der Beamte nicht befördert werden. Dies gilt nicht für Beförderungen in Ämter, deren Inhaberinnen oder Inhaber richterliche Unabhängigkeit besitzen, Staatsanwältinnen oder Staatsanwälte, Beamtinnen oder Beamte im Sinne von § 37 oder Wahlbeamtinnen oder Wahlbeamte sind. Für den Aufstieg und die berufliche Entwicklung innerhalb einer Laufbahngruppe können in den Laufbahnverordnungen Ausnahmen und besondere Regelungen zur Erprobungszeit getroffen werden. Eine Erprobung ist nicht erforderlich, wenn die Beförderung nur darauf beruht, dass sich die besoldungsrechtliche Zuordnung des Amtes ändert, ohne dass dies mit einer Änderung der Funktion verbunden ist.</w:t>
      </w:r>
    </w:p>
    <w:p>
      <w:r>
        <w:t xml:space="preserve">(4) Regelmäßig zu durchlaufende Beförderungsämter dürfen mit Ausnahme von Beförderungen auf der Grundlage von § 9 Absatz 1 Satz 2 Nummer 6 zweiter Halbsatz nicht übersprungen werden.</w:t>
      </w:r>
    </w:p>
    <w:p>
      <w:r>
        <w:t xml:space="preserve">(5) Der Landespersonalausschuss kann Ausnahmen von den Beförderungsverboten (Absatz 2 und Absatz 2a), vom Erfordernis der Erprobung vor Beförderung (Absatz 3) und vom Verbot der Sprungbeförderung (Absatz 4) zulassen.</w:t>
      </w:r>
    </w:p>
    <w:p>
      <w:r>
        <w:t xml:space="preserve">(6) Beförderungen sind nach den Grundsätzen des § 9 des Beamtenstatusgesetzes vorzunehmen. Soweit im Bereich der für die Beförderung zuständigen Behörde im jeweiligen Beförderungsamt der Ämtergruppe eines Einstiegsamtes in einer Laufbahn weniger Frauen als Männer sind, sind Frauen bei gleicher Eignung, Befähigung und fachlicher Leistung bevorzugt zu befördern, sofern nicht in der Person eines Mitbewerbers liegende Gründe überwiegen; ist die Landesregierung die für die Beförderung zuständige Behörde, so ist maßgebend der Geschäftsbereich der obersten Landesbehörde, die den Beförderungsvorschlag macht.</w:t>
      </w:r>
    </w:p>
    <w:p>
      <w:r>
        <w:rPr>
          <w:color w:val="555555"/>
          <w:sz w:val="17"/>
        </w:rPr>
        <w:t xml:space="preserve">Zitiervorschlag: § 19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