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LBG NRW (Nordrhein-Westfalen) — Voraussetzung der Ernennung auf Lebenszeit</w:t>
      </w:r>
    </w:p>
    <w:p>
      <w:r>
        <w:rPr>
          <w:color w:val="555555"/>
          <w:sz w:val="18"/>
        </w:rPr>
        <w:t xml:space="preserve">Landesbeamtengesetz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Beamtenverhältnis auf Probe ist in ein solches auf Lebenszeit umzuwandeln, wenn die beamtenrechtlichen Voraussetzungen hierfür erfüllt sind.</w:t>
      </w:r>
    </w:p>
    <w:p>
      <w:r>
        <w:rPr>
          <w:color w:val="555555"/>
          <w:sz w:val="17"/>
        </w:rPr>
        <w:t xml:space="preserve">Zitiervorschlag: § 15 LBG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https://recht.nulegal.eu/gesetze/LBG%20NRW/15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LBG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