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137 LBG NRW (Nordrhein-Westfalen) — Rechtsverordnungen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Inneres zuständige Ministerium kann im Einvernehmen mit dem Finanzministerium durch Rechtsverordnung</w:t>
      </w:r>
    </w:p>
    <w:p>
      <w:r>
        <w:t xml:space="preserve">1. nach Anhörung des Ausschusses für Kommunalpolitik des Landtags nähere Vorschriften über die Aufstellung und Ausführung der Stellenpläne der Gemeinden und der Gemeindeverbände erlassen,</w:t>
      </w:r>
    </w:p>
    <w:p>
      <w:r>
        <w:t xml:space="preserve">2. Ausnahmen von § 110 Absatz 1 zulassen für Bewerberinnen und Bewerber, die unmittelbar in den Laufbahnabschnitt III der Polizeilaufbahn eingestellt werden; die Bewerberinnen oder Bewerber müssen die Voraussetzungen des § 7 Absatz 1 erfüllen.</w:t>
      </w:r>
    </w:p>
    <w:p>
      <w:r>
        <w:rPr>
          <w:color w:val="555555"/>
          <w:sz w:val="17"/>
        </w:rPr>
        <w:t xml:space="preserve">Zitiervorschlag: § 137 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https://recht.nulegal.eu/gesetze/LBG%20NRW/137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137 LBG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