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121 LBG NRW (Nordrhein-Westfalen) — Staatsangehörigkeit, Erholungsurlaub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Sollen Professorinnen und Professoren, Juniorprofessorinnen und Juniorprofessoren, Tandemprofessorinnen und Tandemprofessoren oder wissenschaftliche und künstlerische Mitarbeiterinnen und Mitarbeiter in ein Beamtenverhältnis berufen werden, können Ausnahmen von § 7 Absatz 1 Satz 1 Nummer 1 und Absatz 2 des Beamtenstatusgesetzes nach § 7 Absatz 3 des Beamtenstatusgesetzes von der obersten Dienstbehörde zugelassen werden.</w:t>
      </w:r>
    </w:p>
    <w:p>
      <w:r>
        <w:t xml:space="preserve">(2) Beamtinnen und Beamte, die im Rahmen ihrer Dienstaufgaben zur Lehrtätigkeit verpflichtet sind, müssen ihren Erholungsurlaub in der vorlesungsfreien Zeit nehmen.</w:t>
      </w:r>
    </w:p>
    <w:p>
      <w:r>
        <w:rPr>
          <w:color w:val="555555"/>
          <w:sz w:val="17"/>
        </w:rPr>
        <w:t xml:space="preserve">Zitiervorschlag: § 121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