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LBAV — Inkrafttreten, Außerkrafttreten</w:t>
      </w:r>
    </w:p>
    <w:p>
      <w:r>
        <w:rPr>
          <w:color w:val="555555"/>
          <w:sz w:val="18"/>
        </w:rPr>
        <w:t xml:space="preserve">Laufbahnbefähigungsanerkennungsverordnung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Kraft.Gleichzeitig tritt die EG-Hochschuldiplomanerkennungsverordnung vom 2. November 1995 (BGBl. I S. 1493), die zuletzt durch § 56 Absatz 2 der Verordnung vom 12. Februar 2009 (BGBl. I S. 284) geändert worden ist, außer Kraft.</w:t>
      </w:r>
    </w:p>
    <w:p>
      <w:r>
        <w:rPr>
          <w:color w:val="555555"/>
          <w:sz w:val="17"/>
        </w:rPr>
        <w:t xml:space="preserve">Zitiervorschlag: § 12 LBAV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