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LBAV — Persönlicher Geltungsbereich</w:t>
      </w:r>
    </w:p>
    <w:p>
      <w:r>
        <w:rPr>
          <w:color w:val="555555"/>
          <w:sz w:val="18"/>
        </w:rPr>
        <w:t xml:space="preserve">Laufbahnbefähigungsanerkennungsverordnung</w:t>
      </w:r>
    </w:p>
    <w:p>
      <w:r>
        <w:rPr>
          <w:color w:val="555555"/>
          <w:sz w:val="18"/>
        </w:rPr>
        <w:t xml:space="preserve">Stand: 25.08.2021 (konsolidierte Textfassung, kein amtliches Inkrafttretensdatum)</w:t>
      </w:r>
    </w:p>
    <w:p>
      <w:r>
        <w:t xml:space="preserve">Diese Verordnung gilt für die in § 7 Absatz 1 Satz 1 Nummer 1 des Bundesbeamtengesetzes genannten Personen.</w:t>
      </w:r>
    </w:p>
    <w:p>
      <w:r>
        <w:rPr>
          <w:color w:val="555555"/>
          <w:sz w:val="17"/>
        </w:rPr>
        <w:t xml:space="preserve">Zitiervorschlag: § 1 LBAV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https://recht.nulegal.eu/gesetze/LBAV/1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