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LAufnGErstV (Brandenburg) — Investitionspauschale</w:t>
      </w:r>
    </w:p>
    <w:p>
      <w:r>
        <w:rPr>
          <w:color w:val="555555"/>
          <w:sz w:val="18"/>
        </w:rPr>
        <w:t xml:space="preserve">Landesaufnahmegesetz-Erstattungsverordnung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Pauschale nach § 14 Absatz 6 Satz 1 des Landesaufnahmegesetzes beträgt für die erstmalige Bereitstellung von Unterbringungsplätzen in einer Einrichtung der vorläufigen Unterbringung (Gemeinschaftsunterkunft, Wohnungsverbund oder Übergangswohnung) pro Platz einmalig 2 300,81 Euro.</w:t>
      </w:r>
    </w:p>
    <w:p>
      <w:r>
        <w:t xml:space="preserve">(2) Mit der Antragstellung ist gegenüber der Erstattungsbehörde die erstmalige Bereitstellung der Unterbringungsplätze durch geeignete Unterlagen darzulegen und nachzuweisen.</w:t>
      </w:r>
    </w:p>
    <w:p>
      <w:r>
        <w:t xml:space="preserve">(3) Die erstmalige Bereitstellung von Unterbringungsplätzen liegt insbesondere dann vor, wenn die Unterbringungsplätze</w:t>
      </w:r>
    </w:p>
    <w:p>
      <w:r>
        <w:t xml:space="preserve">neu geschaffen werden oder</w:t>
      </w:r>
    </w:p>
    <w:p>
      <w:r>
        <w:t xml:space="preserve">erstmalig angemietet oder speziell für eine entsprechende Unterbringung hergerichtet werden.</w:t>
      </w:r>
    </w:p>
    <w:p>
      <w:r>
        <w:t xml:space="preserve">(4) Die Gewährung der Pauschale nach Absatz 1 setzt voraus, dass der Unterbringungsplatz der vorläufigen Unterbringung im Sinne von § 9 Absatz 1 Satz 1 des Landesaufnahmegesetzes dient. Soweit kein Wechsel des Bewohners oder der Bewohnerin erfolgt, ist eine anderweitige Nutzung des Wohnraums unschädlich.</w:t>
      </w:r>
    </w:p>
    <w:p>
      <w:r>
        <w:t xml:space="preserve">(5) Zur Schaffung besonderer, beispielsweise behindertengerechter, Unterbringungsplätze oder zur Gewährleistung von Barrierefreiheit im Sinne von § 14 Absatz 6 Satz 2 des Landesaufnahmegesetzes kann auf Antrag pro Platz bis zu 9 500 Euro erstattet werden. Dies liegt insbesondere bei der Schaffung baulicher Barrierefreiheit vor. Voraussetzung für die Erstattung ist, dass ein entsprechender Bedarf an zielgruppenspezifischen oder individuellen personenbezogenen Unterbringungsplätzen besteht.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LAufnGErstV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https://recht.nulegal.eu/gesetze/LAufnGErstV/9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