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LAufnGDV (Brandenburg) — Verfahren der landesinternen Umverteilung</w:t>
      </w:r>
    </w:p>
    <w:p>
      <w:r>
        <w:rPr>
          <w:color w:val="555555"/>
          <w:sz w:val="18"/>
        </w:rPr>
        <w:t xml:space="preserve">Landesaufnahmegesetz-Durchführungsverordnung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nach § 7 Absatz 1 Satz 2 des Landesaufnahmegesetzes zuständige Ausländerbehörde informiert die Ausländerbehörde, zu der die Umverteilung erfolgen soll, nach ihrer Entscheidung unverzüglich über die Gründe der Umverteilung.</w:t>
      </w:r>
    </w:p>
    <w:p>
      <w:r>
        <w:t xml:space="preserve">(2) In den Fällen des § 7 Absatz 1 Satz 3 des Landesaufnahmegesetzes hat die Ausländerbehörde, zu der die Umverteilung erfolgen soll, das Einvernehmen unverzüglich zu erteilen.</w:t>
      </w:r>
    </w:p>
    <w:p>
      <w:r>
        <w:t xml:space="preserve">(3) Die nach Absatz 1 zuständige Ausländerbehörde unterrichtet die für die Aufgabenwahrnehmung nach § 2 Absatz 1 des Landesaufnahmegesetzes zuständigen Stellen unverzüglich über eine einvernehmliche Umverteilungsentscheidung nach § 7 Absatz 1 des Landesaufnahmegesetzes.</w:t>
      </w:r>
    </w:p>
    <w:p>
      <w:r>
        <w:t xml:space="preserve">(4) Die für die Aufgabenwahrnehmung nach § 2 Absatz 1 des Landesaufnahmegesetzes zuständigen Behörden informieren das für Soziales zuständige Ministerium oder die von ihm bestimmte Behörde über die erfolgte Umverteilung.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LAufnGDV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https://recht.nulegal.eu/gesetze/LAufnGDV/7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