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LAufnGDV (Brandenburg) — Mindestbedingungen für Übergangswohnungen</w:t>
      </w:r>
    </w:p>
    <w:p>
      <w:r>
        <w:rPr>
          <w:color w:val="555555"/>
          <w:sz w:val="18"/>
        </w:rPr>
        <w:t xml:space="preserve">Landesaufnahmegesetz-Durchführungsverordnung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Sofern Absatz 2 keine anderweitige Bestimmung trifft, gilt § 10 entsprechend für Übergangswohnungen.</w:t>
      </w:r>
    </w:p>
    <w:p>
      <w:r>
        <w:t xml:space="preserve">(2) Bei Übergangswohnungen finden Nummer 1 mit Ausnahme der Mindestwohnfläche sowie die Nummern 8 bis 16 der Anlage 3 keine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11 LAufnGDV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https://recht.nulegal.eu/gesetze/LAufnGDV/11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