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LAufnG (Brandenburg) — Landkreisinterne Verteilung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Landkreise können durch Satzung eine eigene Quote (landkreisinterner Verteilerschlüssel) zur gleichmäßigen und die örtlichen Verhältnisse berücksichtigenden vorläufigen oder dauerhaften Unterbringung der Personen nach § 4 in den amtsfreien Gemeinden und Ämtern festlegen.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