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LAufnG (Brandenburg) — Durchführung des Asylbewerberleistungsgesetzes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Zuständige Behörden und Kostenträger für die Durchführung des Asylbewerberleistungsgesetzes sind die Landkreise und kreisfreien Städte.</w:t>
      </w:r>
    </w:p>
    <w:p>
      <w:r>
        <w:t xml:space="preserve">(2) Abweichend von Absatz 1 ist die Zentrale Ausländerbehörde zuständige Behörde und Kostenträger für Leistungen nach dem Asylbewerberleistungsgesetz, die</w:t>
      </w:r>
    </w:p>
    <w:p>
      <w:r>
        <w:t xml:space="preserve">in einer Aufnahmeeinrichtung im Sinne des § 44 des Asylgesetzes,</w:t>
      </w:r>
    </w:p>
    <w:p>
      <w:r>
        <w:t xml:space="preserve">in einer Ausreiseeinrichtung im Sinne des § 61 Absatz 2 des Aufenthaltsgesetzes,</w:t>
      </w:r>
    </w:p>
    <w:p>
      <w:r>
        <w:t xml:space="preserve">in einer Landesübergangseinrichtung im Sinne des § 6a Absatz 1 oder</w:t>
      </w:r>
    </w:p>
    <w:p>
      <w:r>
        <w:t xml:space="preserve">in einer Abschiebungshafteinrichtung im Sinne des § 62a Absatz 1 des Aufenthaltsgesetzes</w:t>
      </w:r>
    </w:p>
    <w:p>
      <w:r>
        <w:t xml:space="preserve">erbracht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