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LAufnG (Brandenburg) — Einschränkung von Grundrechten</w:t>
      </w:r>
    </w:p>
    <w:p>
      <w:r>
        <w:rPr>
          <w:color w:val="555555"/>
          <w:sz w:val="18"/>
        </w:rPr>
        <w:t xml:space="preserve">Landesaufnahmegesetz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Durch § 10 Absatz 4 Satz 1, § 12 Absatz 2 Satz 2, § 18 Absatz 2 sowie die §§ 19 und 20 Absatz 1 werden das Grundrecht auf Unverletzlichkeit der Wohnung (Artikel 13 Absatz 1 des Grundgesetzes, Artikel 15 Absatz 1 der Verfassung des Landes Brandenburg) und das Grundrecht auf Datenschutz (Artikel 11 Absatz 1 der Verfassung des Landes Brandenburg) eingeschränkt.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21 LAufnG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https://recht.nulegal.eu/gesetze/LAufnG/21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