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LAufnG (Brandenburg) — Sonderaufsichtsrechtliche Befugnisse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sonderaufsichtsrechtlichen Befugnisse richten sich nach den Vorschriften der Kommunalverfassung des Landes Brandenburg in der jeweils geltenden Fassung, soweit in nachfolgenden Absätzen nichts Abweichendes bestimmt ist.</w:t>
      </w:r>
    </w:p>
    <w:p>
      <w:r>
        <w:t xml:space="preserve">(2) Zur Überprüfung der ordnungsgemäßen Aufgabenerfüllung, insbesondere der Unterbringung und Versorgung der Personen nach § 4, ist die Sonderaufsichtsbehörde oder eine von ihr bestimmte Behörde berechtigt, jederzeit Einrichtungen der vorläufigen Unterbringung zu betreten.</w:t>
      </w:r>
    </w:p>
    <w:p>
      <w:r>
        <w:t xml:space="preserve">(3) Die Befugnis der Sonderaufsichtsbehörde nach § 121 Absatz 2 Satz 2 Nummer 3 der Kommunalverfassung des Landes Brandenburg, besondere Weisungen zu erteilen, ist nicht auf den Bereich der Gefahrenabwehr beschränkt.</w:t>
      </w:r>
    </w:p>
    <w:p>
      <w:r>
        <w:t xml:space="preserve">(4) Im Falle eines sonderaufsichtsrechtlichen Tätigwerdens nach § 121 Absatz 3 der Kommunalverfassung des Landes Brandenburg sind die dadurch entstehenden Kosten mit den für die Aufgabenwahrnehmung bestimmten Erstattungsleistungen im Wege der Aufrechnung zu verrechnen.</w:t>
      </w:r>
    </w:p>
    <w:p>
      <w:r>
        <w:t xml:space="preserve">(5) Klagen gegen sonderaufsichtsrechtliche Weisungen und die Ausübung des Selbsteintrittsrechts nach § 121 Absatz 3 der Kommunalverfassung des Landes Brandenburg haben keine aufschiebende Wirkung. Ein Vorverfahren findet nicht statt.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