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LAufnG (Brandenburg) — Sonderaufsichtsbehörden</w:t>
      </w:r>
    </w:p>
    <w:p>
      <w:r>
        <w:rPr>
          <w:color w:val="555555"/>
          <w:sz w:val="18"/>
        </w:rPr>
        <w:t xml:space="preserve">Landesaufnahmegesetz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Sonderaufsichtsbehörde für die Ämter und amtsfreien Gemeinden nach diesem Gesetz ist der Landrat als allgemeine untere Landesbehörde.</w:t>
      </w:r>
    </w:p>
    <w:p>
      <w:r>
        <w:t xml:space="preserve">(2) Sonderaufsichtsbehörde für die Landkreise und kreisfreien Städte nach diesem Gesetz ist das für Integration zuständige Ministerium.</w:t>
      </w:r>
    </w:p>
    <w:p>
      <w:r>
        <w:t xml:space="preserve">Einzelnorm</w:t>
      </w:r>
    </w:p>
    <w:p>
      <w:r>
        <w:rPr>
          <w:color w:val="555555"/>
          <w:sz w:val="17"/>
        </w:rPr>
        <w:t xml:space="preserve">Zitiervorschlag: § 17 LAufnG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https://recht.nulegal.eu/gesetze/LAufnG/17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