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LArbWoV — Personenkreis</w:t>
      </w:r>
    </w:p>
    <w:p>
      <w:r>
        <w:rPr>
          <w:color w:val="555555"/>
          <w:sz w:val="18"/>
        </w:rPr>
        <w:t xml:space="preserve">Verordnung über Steuervergünstigungen zur Förderung des Baues von Landarbeiterwohnungen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Land- und Forstwirte gelten alle natürlichen Personen, die Einkünfte aus Land- und Forstwirtschaft im Sinne des § 13 des Einkommensteuergesetzes beziehen. Es gehören dazu auch Personengesellschaften und Körperschaften, die Einkünfte aus Land- und Forstwirtschaft haben.</w:t>
      </w:r>
    </w:p>
    <w:p>
      <w:r>
        <w:t xml:space="preserve">(2) Als Verpächter gelten alle natürlichen Personen, Personengesellschaften und Körperschaften, die land- und forstwirtschaftliche Betriebe, Teilbetriebe oder Betriebsteile verpachten.</w:t>
      </w:r>
    </w:p>
    <w:p>
      <w:r>
        <w:rPr>
          <w:color w:val="555555"/>
          <w:sz w:val="17"/>
        </w:rPr>
        <w:t xml:space="preserve">Zitiervorschlag: § 2 LArbWoV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https://recht.nulegal.eu/gesetze/LArbWoV/2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