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LAnzV 2014</w:t>
      </w:r>
    </w:p>
    <w:p>
      <w:r>
        <w:rPr>
          <w:color w:val="555555"/>
          <w:sz w:val="18"/>
        </w:rPr>
        <w:t xml:space="preserve">Leerverkaufs-Anzeigeverordnung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30h Absatz 4 Satz 1 Nummer 2 des Wertpapierhandelsgesetzes, der durch Artikel 1 Nummer 5 des Gesetzes vom 6. November 2012 (BGBl. I S. 2286) geändert worden ist, in Verbindung mit § 1 Nummer 1 der Verordnung zur Übertragung von Befugnissen zum Erlass von Rechtsverordnungen auf die Bundesanstalt für Finanzdienstleistungsaufsicht, der zuletzt durch Artikel 1 der Verordnung vom 12. September 2013 (BGBl. I S. 3606) geändert worden ist, verordnet die Bundesanstalt für Finanzdienstleistungsaufsicht:</w:t>
      </w:r>
    </w:p>
    <w:p>
      <w:r>
        <w:rPr>
          <w:color w:val="555555"/>
          <w:sz w:val="17"/>
        </w:rPr>
        <w:t xml:space="preserve">Zitiervorschlag: Eingangsformel LAnzV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https://recht.nulegal.eu/gesetze/LAnzV%202014/eingangsformel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