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LAnzV 2014 — Bestandsliste</w:t>
      </w:r>
    </w:p>
    <w:p>
      <w:r>
        <w:rPr>
          <w:color w:val="555555"/>
          <w:sz w:val="18"/>
        </w:rPr>
        <w:t xml:space="preserve">Leerverkaufs-Anzeigeverordnung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Absichtsanzeigen nach den §§ 2 und 3 sind zusätzlich unverzüglich in elektronischer Form an die auf der Internetseite der Bundesanstalt angegebene E-Mail-Adresse zu übermitteln. Diese Pflicht gilt entsprechend für die Benachrichtigung nach § 5, mit der mitgeteilt wird, dass die Ausnahme hinsichtlich einzelner Finanzinstrumente nicht länger in Anspruch genommen wird.</w:t>
      </w:r>
    </w:p>
    <w:p>
      <w:r>
        <w:t xml:space="preserve">(2) Der nach Absatz 1 übermittelten Absichtsanzeige oder Benachrichtigung ist eine Aufstellung im Comma-Separated-Values-Format (CSV-Format) beizufügen, in der entsprechend § 2 Nummer 7 sämtliche Finanzinstrumente sowie entsprechend § 3 Absatz 1 Nummer 3 sämtliche öffentliche Emittenten aufzulisten sind, bezüglich derer der Anzeigende die Ausnahme zukünftig in Anspruch nimmt (Bestandsliste). In der Bestandsliste ist für jedes Finanzinstrument das Datum der jeweiligen Absichtsanzeige nach § 2 Nummer 8 sowie für jeden öffentlichen Emittenten das Datum der jeweiligen Absichtsanzeige nach § 3 Absatz 1 Nummer 4 anzugeben.</w:t>
      </w:r>
    </w:p>
    <w:p>
      <w:r>
        <w:t xml:space="preserve">(3) Die Änderungen zu einer vormals übermittelten Bestandsliste sind kenntlich zu machen.</w:t>
      </w:r>
    </w:p>
    <w:p>
      <w:r>
        <w:rPr>
          <w:color w:val="555555"/>
          <w:sz w:val="17"/>
        </w:rPr>
        <w:t xml:space="preserve">Zitiervorschlag: § 6 LAnzV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https://recht.nulegal.eu/gesetze/LAnzV%202014/6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