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LAnzV 2014 — Benachrichtigung über Änderungen</w:t>
      </w:r>
    </w:p>
    <w:p>
      <w:r>
        <w:rPr>
          <w:color w:val="555555"/>
          <w:sz w:val="18"/>
        </w:rPr>
        <w:t xml:space="preserve">Leerverkaufs-Anzeigeverordnung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Benachrichtigung des Market Makers oder Primärhändlers über Änderungen nach Artikel 17 Absatz 9 oder 10 der Verordnung (EU) Nr. 236/2012 ist der neue Sachverhalt darzustellen. Hierbei gelten die jeweils einschlägigen Vorgaben der §§ 2 und 3 entsprechend.</w:t>
      </w:r>
    </w:p>
    <w:p>
      <w:r>
        <w:rPr>
          <w:color w:val="555555"/>
          <w:sz w:val="17"/>
        </w:rPr>
        <w:t xml:space="preserve">Zitiervorschlag: § 5 LAnzV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https://recht.nulegal.eu/gesetze/LAnzV%202014/5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