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LAnzV 2014 — Formular</w:t>
      </w:r>
    </w:p>
    <w:p>
      <w:r>
        <w:rPr>
          <w:color w:val="555555"/>
          <w:sz w:val="18"/>
        </w:rPr>
        <w:t xml:space="preserve">Leerverkaufs-Anzeigeverordnung</w:t>
      </w:r>
    </w:p>
    <w:p>
      <w:r>
        <w:rPr>
          <w:color w:val="555555"/>
          <w:sz w:val="18"/>
        </w:rPr>
        <w:t xml:space="preserve">Stand: 10.06.2019 (konsolidierte Textfassung, kein amtliches Inkrafttretensdatum)</w:t>
      </w:r>
    </w:p>
    <w:p>
      <w:r>
        <w:t xml:space="preserve">Die Absichtsanzeigen nach den §§ 2 und 3 haben unter Verwendung des jeweiligen auf der Internetseite der Bundesanstalt für Finanzdienstleistungsaufsicht (Bundesanstalt) zur Verfügung gestellten Formulars zu erfolgen. Bei Übersendung per Fax ist die in dem Formular angegebene Faxnummer zu verwenden.</w:t>
      </w:r>
    </w:p>
    <w:p>
      <w:r>
        <w:rPr>
          <w:color w:val="555555"/>
          <w:sz w:val="17"/>
        </w:rPr>
        <w:t xml:space="preserve">Zitiervorschlag: § 4 LAnzV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https://recht.nulegal.eu/gesetze/LAnzV%202014/4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