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LAnzV 2014 — Absichtsanzeige für Market-Making-Tätigkeiten</w:t>
      </w:r>
    </w:p>
    <w:p>
      <w:r>
        <w:rPr>
          <w:color w:val="555555"/>
          <w:sz w:val="18"/>
        </w:rPr>
        <w:t xml:space="preserve">Leerverkaufs-Anzeigeverordnung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Absichtsanzeige für Market-Making-Tätigkeiten muss Folgendes enthalten:</w:t>
      </w:r>
    </w:p>
    <w:p>
      <w:pPr>
        <w:ind w:left="420"/>
      </w:pPr>
      <w:r>
        <w:t xml:space="preserve">1. den Vor- und Nachnamen oder die Firma, das Land, die Anschrift und falls vorhanden den Bank Identifier Code (BIC) des Anzeigenden,</w:t>
      </w:r>
    </w:p>
    <w:p>
      <w:pPr>
        <w:ind w:left="420"/>
      </w:pPr>
      <w:r>
        <w:t xml:space="preserve">2. den Vor- und Nachnamen, die Telefonnummer, die Faxnummer und die E-Mail-Adresse einer Kontaktperson,</w:t>
      </w:r>
    </w:p>
    <w:p>
      <w:pPr>
        <w:ind w:left="420"/>
      </w:pPr>
      <w:r>
        <w:t xml:space="preserve">3. den Status des Anzeigenden als</w:t>
      </w:r>
    </w:p>
    <w:p>
      <w:pPr>
        <w:ind w:left="780"/>
      </w:pPr>
      <w:r>
        <w:t xml:space="preserve">a) Kreditinstitut,</w:t>
      </w:r>
    </w:p>
    <w:p>
      <w:pPr>
        <w:ind w:left="780"/>
      </w:pPr>
      <w:r>
        <w:t xml:space="preserve">b) Wertpapierfirma,</w:t>
      </w:r>
    </w:p>
    <w:p>
      <w:pPr>
        <w:ind w:left="780"/>
      </w:pPr>
      <w:r>
        <w:t xml:space="preserve">c) Rechtspersönlichkeit eines Drittlandes oder</w:t>
      </w:r>
    </w:p>
    <w:p>
      <w:pPr>
        <w:ind w:left="780"/>
      </w:pPr>
      <w:r>
        <w:t xml:space="preserve">d) lokale Firma gemäß Artikel 2 Absatz 1 Buchstabe l der Richtlinie 2004/39/EG des Europäischen Parlaments und des Rates vom 21. April 2004 über Märkte für Finanzinstrumente, zur Änderung der Richtlinien 85/611/EWG und 93/6/EWG des Rates und der Richtlinie 2000/12/EG des Europäischen Parlaments und des Rates und zur Aufhebung der Richtlinie 93/22/EWG des Rates (ABl. L 145 vom 30.4.2004, S. 1), die zuletzt durch die Richtlinie 2010/78/EU des Europäischen Parlaments und des Rates vom 24. November 2010 zur Änderung der Richtlinien 98/26/EG, 2002/87/EG, 2003/6/EG, 2003/41/EG, 2003/71/EG,2004/39/EG, 2004/109/EG, 2005/60/EG, 2006/48/EG, 2006/49/EG und 2009/65/EG im Hinblick auf die Befugnisse der Europäischen Aufsichtsbehörde (Europäische Bankenaufsichtsbehörde), der Europäischen Aufsichtsbehörde (Europäische Aufsichtsbehörde für das Versicherungswesen und die betriebliche Altersversorgung) und der Europäischen Aufsichtsbehörde (Europäische Wertpapier- und Marktaufsichtsbehörde) (ABl. L 331 vom 15.12.2010, S. 120) geändert worden ist,</w:t>
      </w:r>
    </w:p>
    <w:p>
      <w:pPr>
        <w:ind w:left="420"/>
      </w:pPr>
      <w:r>
        <w:t xml:space="preserve">4. die Angabe des Handelsplatzes, dessen Mitglied der Anzeigende ist,</w:t>
      </w:r>
    </w:p>
    <w:p>
      <w:pPr>
        <w:ind w:left="420"/>
      </w:pPr>
      <w:r>
        <w:t xml:space="preserve">5. eine detaillierte Beschreibung der ausgeübten oder beabsichtigten Market-Making-Tätigkeit gemäß Artikel 2 Absatz 1 Buchstabe k der Verordnung (EU) Nr. 236/2012,</w:t>
      </w:r>
    </w:p>
    <w:p>
      <w:pPr>
        <w:ind w:left="420"/>
      </w:pPr>
      <w:r>
        <w:t xml:space="preserve">6. sofern das Erbringen von Market-Making-Tätigkeiten vertraglich vereinbart ist, eine Beschreibung der vertraglich vereinbarten Hauptaufgaben und Haupttätigkeiten,</w:t>
      </w:r>
    </w:p>
    <w:p>
      <w:pPr>
        <w:ind w:left="420"/>
      </w:pPr>
      <w:r>
        <w:t xml:space="preserve">7. hinsichtlich der jeweiligen Finanzinstrumente, hinsichtlich derer die Market-Making-Tätigkeit ausgeübt wird oder werden soll:</w:t>
      </w:r>
    </w:p>
    <w:p>
      <w:pPr>
        <w:ind w:left="780"/>
      </w:pPr>
      <w:r>
        <w:t xml:space="preserve">a) bei Aktien ihre International Securities Identification Number (ISIN) und ihre Bezeichnung,</w:t>
      </w:r>
    </w:p>
    <w:p>
      <w:pPr>
        <w:ind w:left="780"/>
      </w:pPr>
      <w:r>
        <w:t xml:space="preserve">b) bei öffentlichen Schuldtiteln und Credit Default Swaps auf öffentliche Schuldtitel den Namen des Emittenten des Schuldtitels und</w:t>
      </w:r>
    </w:p>
    <w:p>
      <w:pPr>
        <w:ind w:left="780"/>
      </w:pPr>
      <w:r>
        <w:t xml:space="preserve">c) bei Finanzinstrumenten, die weder unter Buchstabe a noch unter Buchstabe b fallen:</w:t>
      </w:r>
    </w:p>
    <w:p>
      <w:pPr>
        <w:ind w:left="1140"/>
      </w:pPr>
      <w:r>
        <w:t xml:space="preserve">aa) die Kategorie des Finanzinstruments nach Anhang I Abschnitt C der Richtlinie 2004/39/EG sowie</w:t>
      </w:r>
    </w:p>
    <w:p>
      <w:pPr>
        <w:ind w:left="1140"/>
      </w:pPr>
      <w:r>
        <w:t xml:space="preserve">bb) die ISIN und die Bezeichnung der Aktie, auf die sich das Finanzinstrument bezieht, oder die Angabe des Emittenten des öffentlichen Schuldtitels, auf den sich das Finanzinstrument bezieht, sowie</w:t>
      </w:r>
    </w:p>
    <w:p>
      <w:pPr>
        <w:ind w:left="420"/>
      </w:pPr>
      <w:r>
        <w:t xml:space="preserve">8. das Datum der Absichtsanzeige.</w:t>
      </w:r>
    </w:p>
    <w:p>
      <w:r>
        <w:rPr>
          <w:color w:val="555555"/>
          <w:sz w:val="17"/>
        </w:rPr>
        <w:t xml:space="preserve">Zitiervorschlag: § 2 LAnzV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https://recht.nulegal.eu/gesetze/LAnzV%202014/2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