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LAnzV 2014 — Anwendungsbereich</w:t>
      </w:r>
    </w:p>
    <w:p>
      <w:r>
        <w:rPr>
          <w:color w:val="555555"/>
          <w:sz w:val="18"/>
        </w:rPr>
        <w:t xml:space="preserve">Leerverkaufs-Anzeigeverordnung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anzuwenden auf</w:t>
      </w:r>
    </w:p>
    <w:p>
      <w:pPr>
        <w:ind w:left="420"/>
      </w:pPr>
      <w:r>
        <w:t xml:space="preserve">1. die Mitteilungen nach Artikel 17 Absatz 5 der Verordnung (EU) Nr. 236/2012 des Europäischen Parlaments und des Rates vom 14. März 2012 über Leerverkäufe und bestimmte Aspekte von Credit Default Swaps (ABl. L 86 vom 24.3.2012, S. 1) (Absichtsanzeige für Market-Making-Tätigkeiten),</w:t>
      </w:r>
    </w:p>
    <w:p>
      <w:pPr>
        <w:ind w:left="420"/>
      </w:pPr>
      <w:r>
        <w:t xml:space="preserve">2. die Mitteilungen nach Artikel 17 Absatz 6 der Verordnung (EU) Nr. 236/2012 (Absichtsanzeige für Primärmarkttätigkeiten) und</w:t>
      </w:r>
    </w:p>
    <w:p>
      <w:pPr>
        <w:ind w:left="420"/>
      </w:pPr>
      <w:r>
        <w:t xml:space="preserve">3. die Benachrichtigungen nach Artikel 17 Absatz 9 und 10 der Verordnung (EU) Nr. 236/2012.</w:t>
      </w:r>
    </w:p>
    <w:p>
      <w:r>
        <w:rPr>
          <w:color w:val="555555"/>
          <w:sz w:val="17"/>
        </w:rPr>
        <w:t xml:space="preserve">Zitiervorschlag: § 1 LAnzV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https://recht.nulegal.eu/gesetze/LAnzV%202014/1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LAnzV 2014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