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LAnpG — Durchführung der Vollversammlung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Vollversammlung sind die in § 8 bezeichneten Unterlagen auszulegen. Der Vorstand hat den Teilungsplan zu Beginn der Versammlung mündlich zu erläutern.</w:t>
      </w:r>
    </w:p>
    <w:p>
      <w:r>
        <w:t xml:space="preserve">(2) Der Bericht der Revisionskommission gemäß § 6 Abs. 2 sowie die Stellungnahme des zuständigen Kreditinstitutes gemäß § 12 Abs. 1 sind in der Vollversammlung zu verlesen.</w:t>
      </w:r>
    </w:p>
    <w:p>
      <w:r>
        <w:rPr>
          <w:color w:val="555555"/>
          <w:sz w:val="17"/>
        </w:rPr>
        <w:t xml:space="preserve">Zitiervorschlag: § 9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