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64b LAnpG — Eingebrachte Gebäude</w:t>
      </w:r>
    </w:p>
    <w:p>
      <w:r>
        <w:rPr>
          <w:color w:val="555555"/>
          <w:sz w:val="18"/>
        </w:rPr>
        <w:t xml:space="preserve">Landwirtschaftsanpassungsgesetz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Anteilsinhaber eines aus einer LPG durch Formwechsel hervorgegangenen Unternehmens neuer Rechtsform oder eines durch Teilung einer LPG entstandenen Unternehmens kann von diesem die Rückübereignung der nach § 13 Abs. 1 des Gesetzes über die landwirtschaftlichen Produktionsgenossenschaften vom 3. Juni 1959 (GBl. I S. 577) eingebrachten Wirtschaftsgebäude zum Zwecke der Zusammenführung mit dem Eigentum am Grundstück verlangen. Der in Satz 1 bestimmte Anspruch steht auch einem Rechtsnachfolger des Grundstückseigentümers zu, der nicht Anteilsinhaber ist.</w:t>
      </w:r>
    </w:p>
    <w:p>
      <w:r>
        <w:t xml:space="preserve">(2) Wird der Anspruch nach Absatz 1 geltend gemacht, hat der Grundstückseigentümer dem Unternehmen einen Ausgleich in Höhe des Verkehrswerts des Gebäudes zum Zeitpunkt des Rückübereignungsverlangens zu leisten.</w:t>
      </w:r>
    </w:p>
    <w:p>
      <w:r>
        <w:t xml:space="preserve">(3) § 83 des Sachenrechtsbereinigungsgesetzes ist entsprechend anzuwenden.</w:t>
      </w:r>
    </w:p>
    <w:p>
      <w:r>
        <w:t xml:space="preserve">(4) Das Unternehmen kann dem Grundstückseigentümer eine Frist von mindestens drei Monaten zur Ausübung seines in Absatz 1 bezeichneten Anspruchs setzen, wenn dieser nicht innerhalb eines Jahres nach dem 1. Oktober 1994 die Rückübereignung des eingebrachten Wirtschaftsgebäudes verlangt hat. Nach fruchtlosem Ablauf der in Satz 1 bezeichneten Frist kann das Unternehmen von dem Grundstückseigentümer den Ankauf der für die Bewirtschaftung des Gebäudes erforderlichen Funktionsfläche zum Verkehrswert verlangen. Macht das Unternehmen den Anspruch geltend, erlischt der Rückübereignungsanspruch.</w:t>
      </w:r>
    </w:p>
    <w:p>
      <w:r>
        <w:t xml:space="preserve">(5) Die Ansprüche nach den Absätzen 1 bis 4 können in einem Verfahren nach den Vorschriften dieses Abschnitts geltend gemacht werden.</w:t>
      </w:r>
    </w:p>
    <w:p>
      <w:r>
        <w:rPr>
          <w:color w:val="555555"/>
          <w:sz w:val="17"/>
        </w:rPr>
        <w:t xml:space="preserve">Zitiervorschlag: § 64b LAnpG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https://recht.nulegal.eu/gesetze/LAnpG/64b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