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LAnpG — Rechtswirkung eines Bodenordnungsplanes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Plan unanfechtbar geworden, ordnet die Flurneuordnungsbehörde seine Ausführungen an (Ausführungsanordnung).</w:t>
      </w:r>
    </w:p>
    <w:p>
      <w:r>
        <w:t xml:space="preserve">(2) Zu dem in der Ausführungsanordnung zu bestimmenden Zeitpunkt tritt der im Plan vorgesehene neue Rechtszustand an die Stelle des bisherigen.</w:t>
      </w:r>
    </w:p>
    <w:p>
      <w:r>
        <w:t xml:space="preserve">(3) Nach Eintritt des neuen Rechtszustands sind die Grundbücher auf Ersuchen der Flurneuordnungsbehörde nach dem Plan zu berichtigen.</w:t>
      </w:r>
    </w:p>
    <w:p>
      <w:r>
        <w:rPr>
          <w:color w:val="555555"/>
          <w:sz w:val="17"/>
        </w:rPr>
        <w:t xml:space="preserve">Zitiervorschlag: § 61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