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LAnpG — Bodenordnungsplan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Flurneuordnungsbehörde faßt die Ergebnisse des Verfahrens in einem Plan zusammen.</w:t>
      </w:r>
    </w:p>
    <w:p>
      <w:r>
        <w:t xml:space="preserve">(2) Vor der Aufstellung des Planes sind die Teilnehmer über ihre Wünsche für die Abfindung zu hören.</w:t>
      </w:r>
    </w:p>
    <w:p>
      <w:r>
        <w:t xml:space="preserve">(3) Der Plan ist den Beteiligten bekanntzugeben. Die neue Flureinteilung ist ihnen auf Wunsch an Ort und Stelle zu erläutern.</w:t>
      </w:r>
    </w:p>
    <w:p>
      <w:r>
        <w:rPr>
          <w:color w:val="555555"/>
          <w:sz w:val="17"/>
        </w:rPr>
        <w:t xml:space="preserve">Zitiervorschlag: § 59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