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LAnpG — Bodenordnungsverfahren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Kommt ein freiwilliger Landtausch nicht zustande, ist unter Leitung der Flurneuordnungsbehörde, in dessen Bereich die Genossenschaft ihren Sitz hat, ein Bodenordnungsverfahren durchzuführen.</w:t>
      </w:r>
    </w:p>
    <w:p>
      <w:r>
        <w:t xml:space="preserve">(2) Am Verfahren sind als Teilnehmer die Eigentümer der zum Verfahrensgebiet gehörenden Grundstücke und als Nebenbeteiligte die Genossenschaften, die Gemeinden, andere Körperschaften des öffentlichen Rechts, Wasser- und Bodenverbände und Inhaber von Rechten an Grundstücken im Verfahrensgebiet beteiligt.</w:t>
      </w:r>
    </w:p>
    <w:p>
      <w:r>
        <w:rPr>
          <w:color w:val="555555"/>
          <w:sz w:val="17"/>
        </w:rPr>
        <w:t xml:space="preserve">Zitiervorschlag: § 56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