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LAnpG — Bestätigung und Beurkundung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Tauschplan ist mit den Tauschpartnern in einem Anhörungstermin zu erörtern. Er ist den Tauschpartnern anschließend vorzulesen und zur Genehmigung sowie zur Unterschrift vorzulegen.</w:t>
      </w:r>
    </w:p>
    <w:p>
      <w:r>
        <w:t xml:space="preserve">(2) Wird eine Einigung über den Tauschplan erzielt, ordnet die Flurneuordnungsbehörde die Ausführung des Tauschplanes an. Die Grundbücher sind auf Ersuchen der Flurneuordnungsbehörde nach dem Tauschplan zu berichtigen.</w:t>
      </w:r>
    </w:p>
    <w:p>
      <w:r>
        <w:t xml:space="preserve">(3) Im übrigen sind die Vorschriften der §§ 103a bis 103i des in § 63 genannten Gesetzes sinngemäß anzuwenden.</w:t>
      </w:r>
    </w:p>
    <w:p>
      <w:r>
        <w:rPr>
          <w:color w:val="555555"/>
          <w:sz w:val="17"/>
        </w:rPr>
        <w:t xml:space="preserve">Zitiervorschlag: § 55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