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LAnpG — Freiwilliger Landtausch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Verfahren zur Regelung der neuen Eigentumsverhältnisse ist ein freiwilliger Landtausch anzustreben.</w:t>
      </w:r>
    </w:p>
    <w:p>
      <w:r>
        <w:t xml:space="preserve">(2) Die Eigentümer der Tauschgrundstücke (Tauschpartner) vereinbaren den freiwilligen Landtausch unter Berücksichtigung der Nutzungsart, Beschaffenheit, Güte und Lage der Flächen. Sie beantragen dessen Durchführung bei der Flurneuordnungsbehörde.</w:t>
      </w:r>
    </w:p>
    <w:p>
      <w:r>
        <w:rPr>
          <w:color w:val="555555"/>
          <w:sz w:val="17"/>
        </w:rPr>
        <w:t xml:space="preserve">Zitiervorschlag: § 54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https://recht.nulegal.eu/gesetze/LAnpG/54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