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LAnpG — Leitlinien zur Neuordnung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Auf Grund des Ausscheidens von Mitgliedern aus der LPG oder der eingetragenen Genossenschaft, der Bildung einzelbäuerlicher Wirtschaften oder zur Wiederherstellung der Einheit von selbständigem Eigentum an Gebäuden, Anlagen sowie Anpflanzungen und Eigentum an Grund und Boden sind auf Antrag eines Beteiligten die Eigentumsverhältnisse an Grundstücken unter Beachtung der Interessen der Beteiligten neu zu ordnen.</w:t>
      </w:r>
    </w:p>
    <w:p>
      <w:r>
        <w:t xml:space="preserve">(2) Absatz 1 gilt entsprechend, wenn genossenschaftlich genutzte Flächen vom Eigentümer gekündigt und zur Bildung oder Vergrößerung bäuerlicher oder gärtnerischer Einzelwirtschaften verpachtet werden.</w:t>
      </w:r>
    </w:p>
    <w:p>
      <w:r>
        <w:t xml:space="preserve">(3) Die Neuordnung der Eigentumsverhältnisse erfolgt durch freiwilligen Landtausch oder durch ein von der zuständigen Behörde (Flurneuordnungsbehörde) angeordnetes Verfahren.</w:t>
      </w:r>
    </w:p>
    <w:p>
      <w:r>
        <w:t xml:space="preserve">(4) Die zuständige Landesbehörde kann gemeinnützige Siedlungsunternehmen oder andere geeignete Stellen unter Beleihung mit hoheitlichen Befugnissen beauftragen, die Verfahren zur Feststellung und Neuordnung der Eigentumsverhältnisse durchzuführen; davon ausgenommen sind Maßnahmen nach § 55 Abs. 2, § 61 Abs. 1 und 3 und § 61a Abs. 3.</w:t>
      </w:r>
    </w:p>
    <w:p>
      <w:r>
        <w:rPr>
          <w:color w:val="555555"/>
          <w:sz w:val="17"/>
        </w:rPr>
        <w:t xml:space="preserve">Zitiervorschlag: § 53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