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51a LAnpG — Ansprüche ausgeschiedener Mitglieder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Ansprüche nach § 44 stehen auch den ausgeschiedenen Mitgliedern zu, die ihre Mitgliedschaft nach dem 15. März 1990 beendet haben. § 49 Abs. 2 und 3 ist entsprechend anzuwenden.</w:t>
      </w:r>
    </w:p>
    <w:p>
      <w:r>
        <w:t xml:space="preserve">(2) Der Anspruch nach § 44 Abs. 1 Nr. 1 steht auch den vor dem 16. März 1990 ausgeschiedenen Mitgliedern sowie deren Erben zu. Der Anspruch ist in fünf gleichen Jahresraten zu erfüllen. § 49 Abs. 2 Satz 1 ist entsprechend anzuwenden.</w:t>
      </w:r>
    </w:p>
    <w:p>
      <w:r>
        <w:t xml:space="preserve">(3) Bei der Berechnung der Ansprüche nach den Absätzen 1 und 2 sind die Berechnungsmethoden des § 44 anzuwenden. Anstelle des Zeitpunkts der Beendigung der Mitgliedschaft ist der Zeitpunkt der Geltendmachung des Anspruchs maßgeblich.</w:t>
      </w:r>
    </w:p>
    <w:p>
      <w:r>
        <w:rPr>
          <w:color w:val="555555"/>
          <w:sz w:val="17"/>
        </w:rPr>
        <w:t xml:space="preserve">Zitiervorschlag: § 51a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https://recht.nulegal.eu/gesetze/LAnpG/51a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