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LAnpG — Fälligkeit des Abfindungsanspruchs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einem ausscheidenden Mitglied nach § 44 Abs. 1 Nr. 1 zustehende Abfindungsanspruch ist einen Monat nach Beendigung der Mitgliedschaft als Abschlagszahlung fällig, wenn das Mitglied allein oder in Kooperation mit anderen Landwirten einen landwirtschaftlichen Betrieb wieder einrichtet.</w:t>
      </w:r>
    </w:p>
    <w:p>
      <w:r>
        <w:t xml:space="preserve">(2) Im übrigen werden Abfindungsansprüche des ausscheidenden Mitglieds erst nach Feststellung der Jahresbilanz fällig. Sachabfindungen, auf die sich das ausscheidende Mitglied und die LPG einigen, sind auf den Abfindungsanspruch anzurechnen.</w:t>
      </w:r>
    </w:p>
    <w:p>
      <w:r>
        <w:t xml:space="preserve">(3) Soweit es sich bei den ausscheidenden Mitgliedern um Personen handelt, die keinen landwirtschaftlichen Betrieb errichten, kann die LPG Ratenzahlung verlangen, soweit sie nachweist, daß dies zur Erhaltung ihrer Wirtschaftskraft erforderlich ist. Der Abfindungsanspruch muß innerhalb von fünf Jahren nach Fälligkeit erfüllt sein.</w:t>
      </w:r>
    </w:p>
    <w:p>
      <w:r>
        <w:rPr>
          <w:color w:val="555555"/>
          <w:sz w:val="17"/>
        </w:rPr>
        <w:t xml:space="preserve">Zitiervorschlag: § 49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