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LAnpG — Eigentumstausch</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Ist der LPG die Rückgabe der eingebrachten Flächen aus objektiven wirtschaftlichen oder rechtlichen Gründen nicht möglich, so kann das ausscheidende Mitglied verlangen, daß ihm statt der eingebrachten Flächen solche übereignet werden, die in wirtschaftlich zumutbarer Entfernung von der Hofstelle, räumlich beieinander und an Wirtschaftswegen liegen sowie nach Art, Größe und Bonität den eingebrachten Flächen entsprechen. Das Verfahren für den Grundstückstausch richtet sich nach Abschnitt 8.</w:t>
      </w:r>
    </w:p>
    <w:p>
      <w:r>
        <w:t xml:space="preserve">(2) Kommt eine Einigung über die Tauschfläche nicht zustande, ist ein Bodenordnungsverfahren nach § 56 durchzuführen. Bis zum Abschluß des Verfahrens hat die LPG dem ausscheidenden Mitglied andere gleichwertige Flächen zur Verfügung zu stellen.</w:t>
      </w:r>
    </w:p>
    <w:p>
      <w:r>
        <w:rPr>
          <w:color w:val="555555"/>
          <w:sz w:val="17"/>
        </w:rPr>
        <w:t xml:space="preserve">Zitiervorschlag: § 46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