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LAnpG — Ausschluß der Anfechtung eines Umwandlungsbeschlusses, gerichtliche Bestimmung der Abfindung</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Eine Klage gegen die Wirksamkeit des Umwandlungsbeschlusses kann nicht darauf gestützt werden, daß das Angebot nach § 36 zu niedrig bemessen ist.</w:t>
      </w:r>
    </w:p>
    <w:p>
      <w:r>
        <w:t xml:space="preserve">(2) Macht ein Mitglied geltend, daß eine im Umwandlungsbeschluß bestimmte Barabfindung, die ihm nach § 36 anzubieten war, zu niedrig bemessen sei, so hat auf seinen Antrag das Gericht die angemessene Barabfindung zu bestimmen. Das gleiche gilt, wenn die Barabfindung nicht oder nicht ordnungsgemäß angeboten und eine Klage gegen die Wirksamkeit des Umwandlungsbeschlusses nicht oder nicht fristgemäß erhoben oder rechtskräftig abgewiesen oder zurückgenommen worden ist.</w:t>
      </w:r>
    </w:p>
    <w:p>
      <w:r>
        <w:rPr>
          <w:color w:val="555555"/>
          <w:sz w:val="17"/>
        </w:rPr>
        <w:t xml:space="preserve">Zitiervorschlag: § 37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