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LAnpG — Benachrichtigung der Anteilsinhaber, besondere Vorschriften bei Formwechsel in eine Aktiengesellschaft</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Das Vertretungsorgan des Unternehmens neuer Rechtsform hat jedem Anteilsinhaber unverzüglich nach der Bekanntmachung der Eintragung des Unternehmens in das Register deren Inhalt sowie die Zahl und den Nennbetrag der Anteile und des Teilrechts, die auf ihn entfallen sind, sowie bei eingetragenen Genossenschaften den Betrag seines Geschäftsguthabens, den Betrag und die Zahl seiner Geschäftsanteile, den Betrag einer noch zu leistenden Einzahlung und gegebenenfalls den Betrag der Haftsumme schriftlich mitzuteilen. Zugleich mit der schriftlichen Mitteilung ist bei Kapitalgesellschaften deren wesentlicher Inhalt in den Gesellschaftsblättern bekanntzumachen.</w:t>
      </w:r>
    </w:p>
    <w:p>
      <w:r>
        <w:t xml:space="preserve">(2) Bei Formwechsel in eine Aktiengesellschaft ist für die Aufforderung an die Aktionäre zur Abholung der Aktien, die Veräußerung von Aktien, die Hauptversammlungsbeschlüsse und die Ausnutzung des genehmigten Kapitals § 385 l Abs. 2, 3 und 4 Satz 1 und 2 des Aktiengesetzes anzuwenden.</w:t>
      </w:r>
    </w:p>
    <w:p>
      <w:r>
        <w:rPr>
          <w:color w:val="555555"/>
          <w:sz w:val="17"/>
        </w:rPr>
        <w:t xml:space="preserve">Zitiervorschlag: § 35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