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LAnpG — Bekanntmachung des Formwechsels</w:t>
      </w:r>
    </w:p>
    <w:p>
      <w:r>
        <w:rPr>
          <w:color w:val="555555"/>
          <w:sz w:val="18"/>
        </w:rPr>
        <w:t xml:space="preserve">Landwirtschaftsanpassungsgesetz</w:t>
      </w:r>
    </w:p>
    <w:p>
      <w:r>
        <w:rPr>
          <w:color w:val="555555"/>
          <w:sz w:val="18"/>
        </w:rPr>
        <w:t xml:space="preserve">Stand: 10.06.2019 (konsolidierte Textfassung, kein amtliches Inkrafttretensdatum)</w:t>
      </w:r>
    </w:p>
    <w:p>
      <w:r>
        <w:t xml:space="preserve">Das für die Anmeldung der neuen Rechtsform zuständige Gericht hat die Eintragung der neuen Rechtsform durch den Bundesanzeiger und durch mindestens ein anderes Blatt ihrem ganzen Inhalt nach bekanntzumachen. Mit dem Ablauf des Tages, an dem das letzte der die Bekanntmachung enthaltenden Blätter erschienen ist, gilt die Bekanntmachung als erfolgt.</w:t>
      </w:r>
    </w:p>
    <w:p>
      <w:r>
        <w:rPr>
          <w:color w:val="555555"/>
          <w:sz w:val="17"/>
        </w:rPr>
        <w:t xml:space="preserve">Zitiervorschlag: § 33 LAnpG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https://recht.nulegal.eu/gesetze/LAnpG/33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